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5D3B"/>
          <w:sz w:val="68"/>
        </w:rPr>
        <w:t>SAVANNA</w:t>
        <w:br/>
        <w:t>ECOSYSTEMS</w:t>
      </w:r>
    </w:p>
    <w:p>
      <w:pPr>
        <w:jc w:val="center"/>
      </w:pPr>
      <w:r>
        <w:rPr>
          <w:b/>
          <w:color w:val="073B2A"/>
          <w:sz w:val="50"/>
        </w:rPr>
        <w:t>COMPANY PROFILE</w:t>
      </w:r>
    </w:p>
    <w:p>
      <w:pPr>
        <w:jc w:val="center"/>
      </w:pPr>
      <w:r>
        <w:rPr>
          <w:color w:val="5A3425"/>
          <w:sz w:val="24"/>
        </w:rPr>
        <w:t>2026 Corporate Overview</w:t>
      </w:r>
    </w:p>
    <w:p/>
    <w:tbl>
      <w:tblPr>
        <w:tblW w:type="auto" w:w="0"/>
        <w:jc w:val="center"/>
        <w:tblLook w:firstColumn="1" w:firstRow="1" w:lastColumn="0" w:lastRow="0" w:noHBand="0" w:noVBand="1" w:val="04A0"/>
      </w:tblPr>
      <w:tblGrid>
        <w:gridCol w:w="10224"/>
      </w:tblGrid>
      <w:tr>
        <w:tc>
          <w:tcPr>
            <w:tcW w:type="dxa" w:w="10224"/>
            <w:shd w:fill="073B2A"/>
            <w:tcMar>
              <w:top w:w="220" w:type="dxa"/>
              <w:start w:w="260" w:type="dxa"/>
              <w:bottom w:w="220" w:type="dxa"/>
              <w:end w:w="260" w:type="dxa"/>
            </w:tcMar>
          </w:tcPr>
          <w:p>
            <w:pPr>
              <w:jc w:val="center"/>
            </w:pPr>
            <w:r>
              <w:rPr>
                <w:b/>
                <w:color w:val="FFFFFF"/>
                <w:sz w:val="26"/>
              </w:rPr>
              <w:t>BASED IN AFRICA, BUILT FOR THE WORLD.</w:t>
            </w:r>
          </w:p>
        </w:tc>
      </w:tr>
    </w:tbl>
    <w:p>
      <w:r>
        <w:br w:type="page"/>
      </w:r>
    </w:p>
    <w:p>
      <w:pPr>
        <w:pStyle w:val="Heading1"/>
      </w:pPr>
      <w:r>
        <w:t>Company at a Glance</w:t>
      </w:r>
    </w:p>
    <w:p>
      <w:r>
        <w:rPr>
          <w:b/>
        </w:rPr>
        <w:t xml:space="preserve">Savanna Ecosystems Limited </w:t>
      </w:r>
      <w:r>
        <w:t>is a Zambia-based IT solutions company founded in 2024 and headquartered in Lusaka. We help organisations modernise, secure and connect their technology environments through enterprise IT solutions, cybersecurity, data and integration services, digital transformation, and governance and compliance advisory.</w:t>
      </w:r>
    </w:p>
    <w:tbl>
      <w:tblPr>
        <w:tblW w:type="auto" w:w="0"/>
        <w:jc w:val="center"/>
        <w:tblLook w:firstColumn="1" w:firstRow="1" w:lastColumn="0" w:lastRow="0" w:noHBand="0" w:noVBand="1" w:val="04A0"/>
      </w:tblPr>
      <w:tblGrid>
        <w:gridCol w:w="5112"/>
        <w:gridCol w:w="5112"/>
      </w:tblGrid>
      <w:tr>
        <w:tc>
          <w:tcPr>
            <w:tcW w:type="dxa" w:w="5112"/>
            <w:shd w:fill="EEF6F1"/>
            <w:tcMar>
              <w:top w:w="100" w:type="dxa"/>
              <w:start w:w="120" w:type="dxa"/>
              <w:bottom w:w="100" w:type="dxa"/>
              <w:end w:w="120" w:type="dxa"/>
            </w:tcMar>
          </w:tcPr>
          <w:p>
            <w:r>
              <w:rPr>
                <w:b/>
              </w:rPr>
              <w:t>Registered Name</w:t>
            </w:r>
          </w:p>
        </w:tc>
        <w:tc>
          <w:tcPr>
            <w:tcW w:type="dxa" w:w="5112"/>
            <w:tcMar>
              <w:top w:w="100" w:type="dxa"/>
              <w:start w:w="120" w:type="dxa"/>
              <w:bottom w:w="100" w:type="dxa"/>
              <w:end w:w="120" w:type="dxa"/>
            </w:tcMar>
          </w:tcPr>
          <w:p>
            <w:r>
              <w:t>Savanna Ecosystems Limited</w:t>
            </w:r>
          </w:p>
        </w:tc>
      </w:tr>
      <w:tr>
        <w:tc>
          <w:tcPr>
            <w:tcW w:type="dxa" w:w="5112"/>
            <w:shd w:fill="EEF6F1"/>
            <w:tcMar>
              <w:top w:w="100" w:type="dxa"/>
              <w:start w:w="120" w:type="dxa"/>
              <w:bottom w:w="100" w:type="dxa"/>
              <w:end w:w="120" w:type="dxa"/>
            </w:tcMar>
          </w:tcPr>
          <w:p>
            <w:r>
              <w:rPr>
                <w:b/>
              </w:rPr>
              <w:t>Registration Number</w:t>
            </w:r>
          </w:p>
        </w:tc>
        <w:tc>
          <w:tcPr>
            <w:tcW w:type="dxa" w:w="5112"/>
            <w:tcMar>
              <w:top w:w="100" w:type="dxa"/>
              <w:start w:w="120" w:type="dxa"/>
              <w:bottom w:w="100" w:type="dxa"/>
              <w:end w:w="120" w:type="dxa"/>
            </w:tcMar>
          </w:tcPr>
          <w:p>
            <w:r>
              <w:t>102500000397</w:t>
            </w:r>
          </w:p>
        </w:tc>
      </w:tr>
      <w:tr>
        <w:tc>
          <w:tcPr>
            <w:tcW w:type="dxa" w:w="5112"/>
            <w:shd w:fill="EEF6F1"/>
            <w:tcMar>
              <w:top w:w="100" w:type="dxa"/>
              <w:start w:w="120" w:type="dxa"/>
              <w:bottom w:w="100" w:type="dxa"/>
              <w:end w:w="120" w:type="dxa"/>
            </w:tcMar>
          </w:tcPr>
          <w:p>
            <w:r>
              <w:rPr>
                <w:b/>
              </w:rPr>
              <w:t>Headquarters</w:t>
            </w:r>
          </w:p>
        </w:tc>
        <w:tc>
          <w:tcPr>
            <w:tcW w:type="dxa" w:w="5112"/>
            <w:tcMar>
              <w:top w:w="100" w:type="dxa"/>
              <w:start w:w="120" w:type="dxa"/>
              <w:bottom w:w="100" w:type="dxa"/>
              <w:end w:w="120" w:type="dxa"/>
            </w:tcMar>
          </w:tcPr>
          <w:p>
            <w:r>
              <w:t>Lusaka, Zambia</w:t>
            </w:r>
          </w:p>
        </w:tc>
      </w:tr>
      <w:tr>
        <w:tc>
          <w:tcPr>
            <w:tcW w:type="dxa" w:w="5112"/>
            <w:shd w:fill="EEF6F1"/>
            <w:tcMar>
              <w:top w:w="100" w:type="dxa"/>
              <w:start w:w="120" w:type="dxa"/>
              <w:bottom w:w="100" w:type="dxa"/>
              <w:end w:w="120" w:type="dxa"/>
            </w:tcMar>
          </w:tcPr>
          <w:p>
            <w:r>
              <w:rPr>
                <w:b/>
              </w:rPr>
              <w:t>Founded</w:t>
            </w:r>
          </w:p>
        </w:tc>
        <w:tc>
          <w:tcPr>
            <w:tcW w:type="dxa" w:w="5112"/>
            <w:tcMar>
              <w:top w:w="100" w:type="dxa"/>
              <w:start w:w="120" w:type="dxa"/>
              <w:bottom w:w="100" w:type="dxa"/>
              <w:end w:w="120" w:type="dxa"/>
            </w:tcMar>
          </w:tcPr>
          <w:p>
            <w:r>
              <w:t>2024</w:t>
            </w:r>
          </w:p>
        </w:tc>
      </w:tr>
      <w:tr>
        <w:tc>
          <w:tcPr>
            <w:tcW w:type="dxa" w:w="5112"/>
            <w:shd w:fill="EEF6F1"/>
            <w:tcMar>
              <w:top w:w="100" w:type="dxa"/>
              <w:start w:w="120" w:type="dxa"/>
              <w:bottom w:w="100" w:type="dxa"/>
              <w:end w:w="120" w:type="dxa"/>
            </w:tcMar>
          </w:tcPr>
          <w:p>
            <w:r>
              <w:rPr>
                <w:b/>
              </w:rPr>
              <w:t>Website</w:t>
            </w:r>
          </w:p>
        </w:tc>
        <w:tc>
          <w:tcPr>
            <w:tcW w:type="dxa" w:w="5112"/>
            <w:tcMar>
              <w:top w:w="100" w:type="dxa"/>
              <w:start w:w="120" w:type="dxa"/>
              <w:bottom w:w="100" w:type="dxa"/>
              <w:end w:w="120" w:type="dxa"/>
            </w:tcMar>
          </w:tcPr>
          <w:p>
            <w:r>
              <w:t>www.savannaecos.com</w:t>
            </w:r>
          </w:p>
        </w:tc>
      </w:tr>
    </w:tbl>
    <w:p>
      <w:pPr>
        <w:pStyle w:val="Heading1"/>
      </w:pPr>
      <w:r>
        <w:t>Our Philosophy</w:t>
      </w:r>
    </w:p>
    <w:p>
      <w:r>
        <w:t>Our name reflects how we think about technology. Healthy savanna ecosystems are resilient because many interconnected elements work together. We apply the same principle to digital environments: technology, people, data, security, governance and business processes must work as one connected ecosystem.</w:t>
      </w:r>
    </w:p>
    <w:p>
      <w:pPr>
        <w:pStyle w:val="Heading1"/>
      </w:pPr>
      <w:r>
        <w:t>Vision &amp; Mission</w:t>
      </w:r>
    </w:p>
    <w:p>
      <w:r>
        <w:t>To become a trusted IT solutions advisor and technology partner for businesses and institutions across Sub-Saharan Africa, helping clients build secure, intelligent, resilient and sustainable digital ecosystems.</w:t>
      </w:r>
    </w:p>
    <w:p>
      <w:r>
        <w:t>Our mission is to combine global technology solutions with practical local expertise so that organisations can modernise, innovate and scale securely.</w:t>
      </w:r>
    </w:p>
    <w:p>
      <w:pPr>
        <w:pStyle w:val="Heading1"/>
      </w:pPr>
      <w:r>
        <w:t>What We Do</w:t>
      </w:r>
    </w:p>
    <w:tbl>
      <w:tblPr>
        <w:tblW w:type="auto" w:w="0"/>
        <w:jc w:val="center"/>
        <w:tblLook w:firstColumn="1" w:firstRow="1" w:lastColumn="0" w:lastRow="0" w:noHBand="0" w:noVBand="1" w:val="04A0"/>
      </w:tblPr>
      <w:tblGrid>
        <w:gridCol w:w="2556"/>
        <w:gridCol w:w="2556"/>
        <w:gridCol w:w="2556"/>
        <w:gridCol w:w="2556"/>
      </w:tblGrid>
      <w:tr>
        <w:tc>
          <w:tcPr>
            <w:tcW w:type="dxa" w:w="2556"/>
            <w:shd w:fill="0B5D3B"/>
            <w:tcMar>
              <w:top w:w="100" w:type="dxa"/>
              <w:start w:w="120" w:type="dxa"/>
              <w:bottom w:w="100" w:type="dxa"/>
              <w:end w:w="120" w:type="dxa"/>
            </w:tcMar>
          </w:tcPr>
          <w:p>
            <w:pPr>
              <w:jc w:val="center"/>
            </w:pPr>
            <w:r>
              <w:rPr>
                <w:b/>
                <w:color w:val="FFFFFF"/>
                <w:sz w:val="18"/>
              </w:rPr>
              <w:t>Enterprise Technology</w:t>
            </w:r>
          </w:p>
        </w:tc>
        <w:tc>
          <w:tcPr>
            <w:tcW w:type="dxa" w:w="2556"/>
            <w:shd w:fill="0B5D3B"/>
            <w:tcMar>
              <w:top w:w="100" w:type="dxa"/>
              <w:start w:w="120" w:type="dxa"/>
              <w:bottom w:w="100" w:type="dxa"/>
              <w:end w:w="120" w:type="dxa"/>
            </w:tcMar>
          </w:tcPr>
          <w:p>
            <w:pPr>
              <w:jc w:val="center"/>
            </w:pPr>
            <w:r>
              <w:rPr>
                <w:b/>
                <w:color w:val="FFFFFF"/>
                <w:sz w:val="18"/>
              </w:rPr>
              <w:t>Cybersecurity</w:t>
            </w:r>
          </w:p>
        </w:tc>
        <w:tc>
          <w:tcPr>
            <w:tcW w:type="dxa" w:w="2556"/>
            <w:shd w:fill="0B5D3B"/>
            <w:tcMar>
              <w:top w:w="100" w:type="dxa"/>
              <w:start w:w="120" w:type="dxa"/>
              <w:bottom w:w="100" w:type="dxa"/>
              <w:end w:w="120" w:type="dxa"/>
            </w:tcMar>
          </w:tcPr>
          <w:p>
            <w:pPr>
              <w:jc w:val="center"/>
            </w:pPr>
            <w:r>
              <w:rPr>
                <w:b/>
                <w:color w:val="FFFFFF"/>
                <w:sz w:val="18"/>
              </w:rPr>
              <w:t>Data &amp; Integration</w:t>
            </w:r>
          </w:p>
        </w:tc>
        <w:tc>
          <w:tcPr>
            <w:tcW w:type="dxa" w:w="2556"/>
            <w:shd w:fill="0B5D3B"/>
            <w:tcMar>
              <w:top w:w="100" w:type="dxa"/>
              <w:start w:w="120" w:type="dxa"/>
              <w:bottom w:w="100" w:type="dxa"/>
              <w:end w:w="120" w:type="dxa"/>
            </w:tcMar>
          </w:tcPr>
          <w:p>
            <w:pPr>
              <w:jc w:val="center"/>
            </w:pPr>
            <w:r>
              <w:rPr>
                <w:b/>
                <w:color w:val="FFFFFF"/>
                <w:sz w:val="18"/>
              </w:rPr>
              <w:t>Governance &amp; Advisory</w:t>
            </w:r>
          </w:p>
        </w:tc>
      </w:tr>
      <w:tr>
        <w:tc>
          <w:tcPr>
            <w:tcW w:type="dxa" w:w="2556"/>
            <w:shd w:fill="EEF6F1"/>
            <w:tcMar>
              <w:top w:w="100" w:type="dxa"/>
              <w:start w:w="120" w:type="dxa"/>
              <w:bottom w:w="100" w:type="dxa"/>
              <w:end w:w="120" w:type="dxa"/>
            </w:tcMar>
          </w:tcPr>
          <w:p>
            <w:pPr>
              <w:jc w:val="center"/>
            </w:pPr>
            <w:r>
              <w:rPr>
                <w:sz w:val="17"/>
              </w:rPr>
              <w:t>Enterprise software, platforms, infrastructure and technology licensing.</w:t>
            </w:r>
          </w:p>
        </w:tc>
        <w:tc>
          <w:tcPr>
            <w:tcW w:type="dxa" w:w="2556"/>
            <w:shd w:fill="EEF6F1"/>
            <w:tcMar>
              <w:top w:w="100" w:type="dxa"/>
              <w:start w:w="120" w:type="dxa"/>
              <w:bottom w:w="100" w:type="dxa"/>
              <w:end w:w="120" w:type="dxa"/>
            </w:tcMar>
          </w:tcPr>
          <w:p>
            <w:pPr>
              <w:jc w:val="center"/>
            </w:pPr>
            <w:r>
              <w:rPr>
                <w:sz w:val="17"/>
              </w:rPr>
              <w:t>Security solutions and services protecting networks, endpoints, cloud and data.</w:t>
            </w:r>
          </w:p>
        </w:tc>
        <w:tc>
          <w:tcPr>
            <w:tcW w:type="dxa" w:w="2556"/>
            <w:shd w:fill="EEF6F1"/>
            <w:tcMar>
              <w:top w:w="100" w:type="dxa"/>
              <w:start w:w="120" w:type="dxa"/>
              <w:bottom w:w="100" w:type="dxa"/>
              <w:end w:w="120" w:type="dxa"/>
            </w:tcMar>
          </w:tcPr>
          <w:p>
            <w:pPr>
              <w:jc w:val="center"/>
            </w:pPr>
            <w:r>
              <w:rPr>
                <w:sz w:val="17"/>
              </w:rPr>
              <w:t>APIs, system integration, data governance and connected digital platforms.</w:t>
            </w:r>
          </w:p>
        </w:tc>
        <w:tc>
          <w:tcPr>
            <w:tcW w:type="dxa" w:w="2556"/>
            <w:shd w:fill="EEF6F1"/>
            <w:tcMar>
              <w:top w:w="100" w:type="dxa"/>
              <w:start w:w="120" w:type="dxa"/>
              <w:bottom w:w="100" w:type="dxa"/>
              <w:end w:w="120" w:type="dxa"/>
            </w:tcMar>
          </w:tcPr>
          <w:p>
            <w:pPr>
              <w:jc w:val="center"/>
            </w:pPr>
            <w:r>
              <w:rPr>
                <w:sz w:val="17"/>
              </w:rPr>
              <w:t>IT governance, ISO 27001, data protection, risk, controls and compliance.</w:t>
            </w:r>
          </w:p>
        </w:tc>
      </w:tr>
    </w:tbl>
    <w:p>
      <w:pPr>
        <w:pStyle w:val="Heading1"/>
      </w:pPr>
      <w:r>
        <w:t>Our Core Solutions</w:t>
      </w:r>
    </w:p>
    <w:p>
      <w:pPr>
        <w:pStyle w:val="Heading2"/>
      </w:pPr>
      <w:r>
        <w:t>1. Enterprise Technology Solutions &amp; Licensing</w:t>
      </w:r>
    </w:p>
    <w:p>
      <w:r>
        <w:t>We help organisations identify, procure, deploy and optimise enterprise technology aligned to business requirements. Our role can extend beyond licence supply to solution selection, implementation coordination, integration and adoption support.</w:t>
      </w:r>
    </w:p>
    <w:p>
      <w:pPr>
        <w:pStyle w:val="ListBullet"/>
      </w:pPr>
      <w:r>
        <w:t>Enterprise software and subscription solutions</w:t>
      </w:r>
    </w:p>
    <w:p>
      <w:pPr>
        <w:pStyle w:val="ListBullet"/>
      </w:pPr>
      <w:r>
        <w:t>Linux, open-source and hybrid-cloud technologies</w:t>
      </w:r>
    </w:p>
    <w:p>
      <w:pPr>
        <w:pStyle w:val="ListBullet"/>
      </w:pPr>
      <w:r>
        <w:t>Network and security infrastructure</w:t>
      </w:r>
    </w:p>
    <w:p>
      <w:pPr>
        <w:pStyle w:val="ListBullet"/>
      </w:pPr>
      <w:r>
        <w:t>IT support, resource augmentation and tailored IT solutions</w:t>
      </w:r>
    </w:p>
    <w:p>
      <w:pPr>
        <w:pStyle w:val="ListBullet"/>
      </w:pPr>
      <w:r>
        <w:t>Microsoft and productivity technology support</w:t>
      </w:r>
    </w:p>
    <w:p>
      <w:pPr>
        <w:pStyle w:val="ListBullet"/>
      </w:pPr>
      <w:r>
        <w:t>Technology procurement and licence renewal support</w:t>
      </w:r>
    </w:p>
    <w:p>
      <w:pPr>
        <w:pStyle w:val="Heading2"/>
      </w:pPr>
      <w:r>
        <w:t>2. Cybersecurity</w:t>
      </w:r>
    </w:p>
    <w:p>
      <w:pPr>
        <w:pStyle w:val="ListBullet"/>
      </w:pPr>
      <w:r>
        <w:t>Firewall and network security implementation</w:t>
      </w:r>
    </w:p>
    <w:p>
      <w:pPr>
        <w:pStyle w:val="ListBullet"/>
      </w:pPr>
      <w:r>
        <w:t>Endpoint protection and patch management</w:t>
      </w:r>
    </w:p>
    <w:p>
      <w:pPr>
        <w:pStyle w:val="ListBullet"/>
      </w:pPr>
      <w:r>
        <w:t>Threat detection, monitoring, mitigation and response</w:t>
      </w:r>
    </w:p>
    <w:p>
      <w:pPr>
        <w:pStyle w:val="ListBullet"/>
      </w:pPr>
      <w:r>
        <w:t>SIEM and security monitoring</w:t>
      </w:r>
    </w:p>
    <w:p>
      <w:pPr>
        <w:pStyle w:val="ListBullet"/>
      </w:pPr>
      <w:r>
        <w:t>Cloud and infrastructure hardening</w:t>
      </w:r>
    </w:p>
    <w:p>
      <w:pPr>
        <w:pStyle w:val="ListBullet"/>
      </w:pPr>
      <w:r>
        <w:t>Vulnerability assessments and penetration testing</w:t>
      </w:r>
    </w:p>
    <w:p>
      <w:pPr>
        <w:pStyle w:val="ListBullet"/>
      </w:pPr>
      <w:r>
        <w:t>Cybersecurity risk assessments and security improvement roadmaps</w:t>
      </w:r>
    </w:p>
    <w:p>
      <w:pPr>
        <w:pStyle w:val="Heading2"/>
      </w:pPr>
      <w:r>
        <w:t>3. Data, APIs &amp; Integration</w:t>
      </w:r>
    </w:p>
    <w:p>
      <w:pPr>
        <w:pStyle w:val="ListBullet"/>
      </w:pPr>
      <w:r>
        <w:t>API management and integration architecture</w:t>
      </w:r>
    </w:p>
    <w:p>
      <w:pPr>
        <w:pStyle w:val="ListBullet"/>
      </w:pPr>
      <w:r>
        <w:t>Application and systems integration</w:t>
      </w:r>
    </w:p>
    <w:p>
      <w:pPr>
        <w:pStyle w:val="ListBullet"/>
      </w:pPr>
      <w:r>
        <w:t>Data integration and information flows</w:t>
      </w:r>
    </w:p>
    <w:p>
      <w:pPr>
        <w:pStyle w:val="ListBullet"/>
      </w:pPr>
      <w:r>
        <w:t>Data governance and secure data handling</w:t>
      </w:r>
    </w:p>
    <w:p>
      <w:pPr>
        <w:pStyle w:val="ListBullet"/>
      </w:pPr>
      <w:r>
        <w:t>Workflow automation and connected digital platforms</w:t>
      </w:r>
    </w:p>
    <w:p>
      <w:pPr>
        <w:pStyle w:val="ListBullet"/>
      </w:pPr>
      <w:r>
        <w:t>Custom enterprise solutions and digital services</w:t>
      </w:r>
    </w:p>
    <w:p>
      <w:pPr>
        <w:pStyle w:val="Heading2"/>
      </w:pPr>
      <w:r>
        <w:t>4. Governance, Risk &amp; Compliance</w:t>
      </w:r>
    </w:p>
    <w:p>
      <w:pPr>
        <w:pStyle w:val="ListBullet"/>
      </w:pPr>
      <w:r>
        <w:t>ISO/IEC 27001:2022 readiness and IT audits</w:t>
      </w:r>
    </w:p>
    <w:p>
      <w:pPr>
        <w:pStyle w:val="ListBullet"/>
      </w:pPr>
      <w:r>
        <w:t>Data protection and privacy compliance support</w:t>
      </w:r>
    </w:p>
    <w:p>
      <w:pPr>
        <w:pStyle w:val="ListBullet"/>
      </w:pPr>
      <w:r>
        <w:t>Cybersecurity governance and risk assessments</w:t>
      </w:r>
    </w:p>
    <w:p>
      <w:pPr>
        <w:pStyle w:val="ListBullet"/>
      </w:pPr>
      <w:r>
        <w:t>IT risk and control frameworks</w:t>
      </w:r>
    </w:p>
    <w:p>
      <w:pPr>
        <w:pStyle w:val="ListBullet"/>
      </w:pPr>
      <w:r>
        <w:t>Policy development and implementation</w:t>
      </w:r>
    </w:p>
    <w:p>
      <w:pPr>
        <w:pStyle w:val="ListBullet"/>
      </w:pPr>
      <w:r>
        <w:t>Digital transformation governance</w:t>
      </w:r>
    </w:p>
    <w:p>
      <w:pPr>
        <w:pStyle w:val="ListBullet"/>
      </w:pPr>
      <w:r>
        <w:t>Compliance gap assessments and remediation support</w:t>
      </w:r>
    </w:p>
    <w:p>
      <w:pPr>
        <w:pStyle w:val="Heading2"/>
      </w:pPr>
      <w:r>
        <w:t>5. Digital Transformation &amp; Software</w:t>
      </w:r>
    </w:p>
    <w:p>
      <w:pPr>
        <w:pStyle w:val="ListBullet"/>
      </w:pPr>
      <w:r>
        <w:t>Technology and digital transformation strategy</w:t>
      </w:r>
    </w:p>
    <w:p>
      <w:pPr>
        <w:pStyle w:val="ListBullet"/>
      </w:pPr>
      <w:r>
        <w:t>Business process optimisation and digitisation</w:t>
      </w:r>
    </w:p>
    <w:p>
      <w:pPr>
        <w:pStyle w:val="ListBullet"/>
      </w:pPr>
      <w:r>
        <w:t>System implementation support, UAT and adoption</w:t>
      </w:r>
    </w:p>
    <w:p>
      <w:pPr>
        <w:pStyle w:val="ListBullet"/>
      </w:pPr>
      <w:r>
        <w:t>Web and mobile application development</w:t>
      </w:r>
    </w:p>
    <w:p>
      <w:pPr>
        <w:pStyle w:val="ListBullet"/>
      </w:pPr>
      <w:r>
        <w:t>Custom enterprise solutions</w:t>
      </w:r>
    </w:p>
    <w:p>
      <w:pPr>
        <w:pStyle w:val="ListBullet"/>
      </w:pPr>
      <w:r>
        <w:t>Agile product and solution development</w:t>
      </w:r>
    </w:p>
    <w:p>
      <w:r>
        <w:br w:type="page"/>
      </w:r>
    </w:p>
    <w:p>
      <w:pPr>
        <w:pStyle w:val="Heading1"/>
      </w:pPr>
      <w:r>
        <w:t>Technology Ecosystem</w:t>
      </w:r>
    </w:p>
    <w:p>
      <w:r>
        <w:t>Savanna Ecosystems provides and supports solutions from global technology vendors, helping clients match technology capabilities to business, security and transformation requirements.</w:t>
      </w:r>
    </w:p>
    <w:tbl>
      <w:tblPr>
        <w:tblW w:type="auto" w:w="0"/>
        <w:jc w:val="center"/>
        <w:tblLook w:firstColumn="1" w:firstRow="1" w:lastColumn="0" w:lastRow="0" w:noHBand="0" w:noVBand="1" w:val="04A0"/>
      </w:tblPr>
      <w:tblGrid>
        <w:gridCol w:w="5112"/>
        <w:gridCol w:w="5112"/>
      </w:tblGrid>
      <w:tr>
        <w:tc>
          <w:tcPr>
            <w:tcW w:type="dxa" w:w="5112"/>
            <w:shd w:fill="0B5D3B"/>
            <w:tcMar>
              <w:top w:w="100" w:type="dxa"/>
              <w:start w:w="120" w:type="dxa"/>
              <w:bottom w:w="100" w:type="dxa"/>
              <w:end w:w="120" w:type="dxa"/>
            </w:tcMar>
          </w:tcPr>
          <w:p>
            <w:r>
              <w:rPr>
                <w:b/>
                <w:color w:val="FFFFFF"/>
              </w:rPr>
              <w:t>Red Hat</w:t>
            </w:r>
          </w:p>
        </w:tc>
        <w:tc>
          <w:tcPr>
            <w:tcW w:type="dxa" w:w="5112"/>
            <w:tcMar>
              <w:top w:w="100" w:type="dxa"/>
              <w:start w:w="120" w:type="dxa"/>
              <w:bottom w:w="100" w:type="dxa"/>
              <w:end w:w="120" w:type="dxa"/>
            </w:tcMar>
          </w:tcPr>
          <w:p>
            <w:r>
              <w:t>Enterprise open-source technologies, Linux, automation, containers and hybrid-cloud solutions.</w:t>
            </w:r>
          </w:p>
        </w:tc>
      </w:tr>
      <w:tr>
        <w:tc>
          <w:tcPr>
            <w:tcW w:type="dxa" w:w="5112"/>
            <w:shd w:fill="0B5D3B"/>
            <w:tcMar>
              <w:top w:w="100" w:type="dxa"/>
              <w:start w:w="120" w:type="dxa"/>
              <w:bottom w:w="100" w:type="dxa"/>
              <w:end w:w="120" w:type="dxa"/>
            </w:tcMar>
          </w:tcPr>
          <w:p>
            <w:r>
              <w:rPr>
                <w:b/>
                <w:color w:val="FFFFFF"/>
              </w:rPr>
              <w:t>WSO2</w:t>
            </w:r>
          </w:p>
        </w:tc>
        <w:tc>
          <w:tcPr>
            <w:tcW w:type="dxa" w:w="5112"/>
            <w:tcMar>
              <w:top w:w="100" w:type="dxa"/>
              <w:start w:w="120" w:type="dxa"/>
              <w:bottom w:w="100" w:type="dxa"/>
              <w:end w:w="120" w:type="dxa"/>
            </w:tcMar>
          </w:tcPr>
          <w:p>
            <w:r>
              <w:t>API management, integration, identity and technologies for connected digital services.</w:t>
            </w:r>
          </w:p>
        </w:tc>
      </w:tr>
      <w:tr>
        <w:tc>
          <w:tcPr>
            <w:tcW w:type="dxa" w:w="5112"/>
            <w:shd w:fill="0B5D3B"/>
            <w:tcMar>
              <w:top w:w="100" w:type="dxa"/>
              <w:start w:w="120" w:type="dxa"/>
              <w:bottom w:w="100" w:type="dxa"/>
              <w:end w:w="120" w:type="dxa"/>
            </w:tcMar>
          </w:tcPr>
          <w:p>
            <w:r>
              <w:rPr>
                <w:b/>
                <w:color w:val="FFFFFF"/>
              </w:rPr>
              <w:t>Fortinet</w:t>
            </w:r>
          </w:p>
        </w:tc>
        <w:tc>
          <w:tcPr>
            <w:tcW w:type="dxa" w:w="5112"/>
            <w:tcMar>
              <w:top w:w="100" w:type="dxa"/>
              <w:start w:w="120" w:type="dxa"/>
              <w:bottom w:w="100" w:type="dxa"/>
              <w:end w:w="120" w:type="dxa"/>
            </w:tcMar>
          </w:tcPr>
          <w:p>
            <w:r>
              <w:t>Enterprise cybersecurity, network security, firewalls, secure access and security infrastructure.</w:t>
            </w:r>
          </w:p>
        </w:tc>
      </w:tr>
      <w:tr>
        <w:tc>
          <w:tcPr>
            <w:tcW w:type="dxa" w:w="5112"/>
            <w:shd w:fill="0B5D3B"/>
            <w:tcMar>
              <w:top w:w="100" w:type="dxa"/>
              <w:start w:w="120" w:type="dxa"/>
              <w:bottom w:w="100" w:type="dxa"/>
              <w:end w:w="120" w:type="dxa"/>
            </w:tcMar>
          </w:tcPr>
          <w:p>
            <w:r>
              <w:rPr>
                <w:b/>
                <w:color w:val="FFFFFF"/>
              </w:rPr>
              <w:t>LinkShadow</w:t>
            </w:r>
          </w:p>
        </w:tc>
        <w:tc>
          <w:tcPr>
            <w:tcW w:type="dxa" w:w="5112"/>
            <w:tcMar>
              <w:top w:w="100" w:type="dxa"/>
              <w:start w:w="120" w:type="dxa"/>
              <w:bottom w:w="100" w:type="dxa"/>
              <w:end w:w="120" w:type="dxa"/>
            </w:tcMar>
          </w:tcPr>
          <w:p>
            <w:r>
              <w:t>Cybersecurity analytics, network visibility, threat detection and security operations capabilities.</w:t>
            </w:r>
          </w:p>
        </w:tc>
      </w:tr>
    </w:tbl>
    <w:p>
      <w:r>
        <w:t>Brand/partner logos and formal partner-status wording should only be used where permitted by the relevant vendor programme and current reseller/partner authorisation.</w:t>
      </w:r>
    </w:p>
    <w:p>
      <w:pPr>
        <w:pStyle w:val="Heading1"/>
      </w:pPr>
      <w:r>
        <w:t>Industries We Support</w:t>
      </w:r>
    </w:p>
    <w:p>
      <w:pPr>
        <w:pStyle w:val="ListBullet"/>
      </w:pPr>
      <w:r>
        <w:t>Financial Services</w:t>
      </w:r>
    </w:p>
    <w:p>
      <w:pPr>
        <w:pStyle w:val="ListBullet"/>
      </w:pPr>
      <w:r>
        <w:t>Government &amp; Public Sector</w:t>
      </w:r>
    </w:p>
    <w:p>
      <w:pPr>
        <w:pStyle w:val="ListBullet"/>
      </w:pPr>
      <w:r>
        <w:t>Hospitality</w:t>
      </w:r>
    </w:p>
    <w:p>
      <w:pPr>
        <w:pStyle w:val="ListBullet"/>
      </w:pPr>
      <w:r>
        <w:t>Healthcare</w:t>
      </w:r>
    </w:p>
    <w:p>
      <w:pPr>
        <w:pStyle w:val="ListBullet"/>
      </w:pPr>
      <w:r>
        <w:t>Telecommunications</w:t>
      </w:r>
    </w:p>
    <w:p>
      <w:pPr>
        <w:pStyle w:val="ListBullet"/>
      </w:pPr>
      <w:r>
        <w:t>Professional Services</w:t>
      </w:r>
    </w:p>
    <w:p>
      <w:pPr>
        <w:pStyle w:val="ListBullet"/>
      </w:pPr>
      <w:r>
        <w:t>Retail &amp; Commerce</w:t>
      </w:r>
    </w:p>
    <w:p>
      <w:pPr>
        <w:pStyle w:val="Heading1"/>
      </w:pPr>
      <w:r>
        <w:t>Why Savanna Ecosystems?</w:t>
      </w:r>
    </w:p>
    <w:p>
      <w:pPr>
        <w:pStyle w:val="ListBullet"/>
      </w:pPr>
      <w:r>
        <w:t>Africa-focused delivery with an understanding of local and regional operating environments.</w:t>
      </w:r>
    </w:p>
    <w:p>
      <w:pPr>
        <w:pStyle w:val="ListBullet"/>
      </w:pPr>
      <w:r>
        <w:t>A combined technology, cybersecurity, data and governance perspective.</w:t>
      </w:r>
    </w:p>
    <w:p>
      <w:pPr>
        <w:pStyle w:val="ListBullet"/>
      </w:pPr>
      <w:r>
        <w:t>Access to enterprise technology solutions supported by advisory and implementation capability.</w:t>
      </w:r>
    </w:p>
    <w:p>
      <w:pPr>
        <w:pStyle w:val="ListBullet"/>
      </w:pPr>
      <w:r>
        <w:t>Practical focus on secure, scalable and sustainable digital transformation.</w:t>
      </w:r>
    </w:p>
    <w:p>
      <w:pPr>
        <w:pStyle w:val="ListBullet"/>
      </w:pPr>
      <w:r>
        <w:t>Senior experience spanning technology leadership, audit, risk, governance and transformation.</w:t>
      </w:r>
    </w:p>
    <w:p>
      <w:pPr>
        <w:pStyle w:val="Heading1"/>
      </w:pPr>
      <w:r>
        <w:t>Contact Us</w:t>
      </w:r>
    </w:p>
    <w:p>
      <w:r>
        <w:t>Savanna Ecosystems Limited</w:t>
        <w:br/>
        <w:t>Plot No. 4991, Nsunzu Road, Civic Centre, Lusaka, Zambia</w:t>
        <w:br/>
        <w:t>Email: info@savannaecos.com</w:t>
        <w:br/>
        <w:t>Phone: +260 967 756 864</w:t>
        <w:br/>
        <w:t>Website: www.savannaecos.com</w:t>
      </w:r>
    </w:p>
    <w:p>
      <w:pPr>
        <w:jc w:val="center"/>
      </w:pPr>
      <w:r>
        <w:rPr>
          <w:b/>
          <w:color w:val="0B5D3B"/>
          <w:sz w:val="30"/>
        </w:rPr>
        <w:t>Based in Africa, Built for the World.</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570"/>
        <w:sz w:val="16"/>
      </w:rPr>
      <w:t>Based in Africa, Built for the World.  |  www.savannaecos.com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B5D3B"/>
        <w:sz w:val="18"/>
      </w:rPr>
      <w:t>SAVANNA ECOSYSTEMS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B5D3B"/>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A342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3B2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3B2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0"/>
      <w:contextualSpacing/>
    </w:pPr>
    <w:rPr>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